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84" w:lineRule="auto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84" w:lineRule="auto"/>
        <w:jc w:val="center"/>
        <w:rPr>
          <w:rFonts w:ascii="Cambria" w:cs="Cambria" w:eastAsia="Cambria" w:hAnsi="Cambria"/>
          <w:b w:val="1"/>
          <w:bCs w:val="1"/>
          <w:color w:val="00000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rtl w:val="0"/>
        </w:rPr>
        <w:t xml:space="preserve">A TANTÁRGY ADATLAPJA </w:t>
      </w:r>
    </w:p>
    <w:p w:rsidR="00000000" w:rsidDel="00000000" w:rsidP="00000000" w:rsidRDefault="00000000" w:rsidRPr="00000000" w14:paraId="00000003">
      <w:pPr>
        <w:spacing w:line="384" w:lineRule="auto"/>
        <w:jc w:val="center"/>
        <w:rPr>
          <w:rFonts w:ascii="Cambria" w:cs="Cambria" w:eastAsia="Cambria" w:hAnsi="Cambria"/>
          <w:i w:val="1"/>
          <w:iCs w:val="1"/>
          <w:color w:val="000000"/>
        </w:rPr>
      </w:pPr>
      <w:r w:rsidDel="00000000" w:rsidR="00000000" w:rsidRPr="00000000">
        <w:rPr>
          <w:rFonts w:ascii="Cambria" w:cs="Cambria" w:eastAsia="Cambria" w:hAnsi="Cambria"/>
          <w:i w:val="1"/>
          <w:iCs w:val="1"/>
          <w:color w:val="000000"/>
          <w:rtl w:val="0"/>
        </w:rPr>
        <w:t xml:space="preserve">Teatrológia (1)</w:t>
      </w:r>
    </w:p>
    <w:p w:rsidR="00000000" w:rsidDel="00000000" w:rsidP="00000000" w:rsidRDefault="00000000" w:rsidRPr="00000000" w14:paraId="00000004">
      <w:pPr>
        <w:spacing w:line="384" w:lineRule="auto"/>
        <w:jc w:val="center"/>
        <w:rPr>
          <w:rFonts w:ascii="Cambria" w:cs="Cambria" w:eastAsia="Cambria" w:hAnsi="Cambria"/>
          <w:color w:val="000000"/>
        </w:rPr>
      </w:pPr>
      <w:r w:rsidDel="00000000" w:rsidR="00000000" w:rsidRPr="00000000">
        <w:rPr>
          <w:rFonts w:ascii="Cambria" w:cs="Cambria" w:eastAsia="Cambria" w:hAnsi="Cambria"/>
          <w:color w:val="000000"/>
          <w:rtl w:val="0"/>
        </w:rPr>
        <w:t xml:space="preserve">Egyetemi tanév 2025-2026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ind w:left="142" w:hanging="567"/>
        <w:rPr>
          <w:rFonts w:ascii="Cambria" w:cs="Cambria" w:eastAsia="Cambria" w:hAnsi="Cambria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0"/>
          <w:szCs w:val="20"/>
          <w:rtl w:val="0"/>
        </w:rPr>
        <w:t xml:space="preserve">1. A képzési program adatai</w:t>
      </w:r>
    </w:p>
    <w:tbl>
      <w:tblPr>
        <w:tblStyle w:val="Table1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45"/>
        <w:gridCol w:w="6946"/>
        <w:tblGridChange w:id="0">
          <w:tblGrid>
            <w:gridCol w:w="3545"/>
            <w:gridCol w:w="6946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keepNext w:val="1"/>
              <w:spacing w:after="0" w:line="240" w:lineRule="auto"/>
              <w:ind w:left="34" w:right="-625" w:firstLine="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1.1. Felsőoktatási intézmény</w:t>
            </w:r>
          </w:p>
        </w:tc>
        <w:tc>
          <w:tcPr/>
          <w:p w:rsidR="00000000" w:rsidDel="00000000" w:rsidP="00000000" w:rsidRDefault="00000000" w:rsidRPr="00000000" w14:paraId="00000008">
            <w:pPr>
              <w:keepNext w:val="1"/>
              <w:spacing w:after="0" w:line="240" w:lineRule="auto"/>
              <w:ind w:right="-625"/>
              <w:jc w:val="both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Babeş-Bolyai Tudományegyetem, Kolozsvár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1"/>
              <w:spacing w:after="0" w:line="240" w:lineRule="auto"/>
              <w:ind w:left="34" w:firstLine="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1.2. Kar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1"/>
              <w:spacing w:after="0" w:line="240" w:lineRule="auto"/>
              <w:ind w:right="-625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Színház és Film Kar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1"/>
              <w:spacing w:after="0" w:line="240" w:lineRule="auto"/>
              <w:ind w:left="34" w:right="-625" w:firstLine="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1.3. Intézet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1"/>
              <w:spacing w:after="0" w:line="240" w:lineRule="auto"/>
              <w:ind w:right="-625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Magyar Színházi Intézet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1.4.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Szakterület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1"/>
              <w:spacing w:after="0" w:line="240" w:lineRule="auto"/>
              <w:ind w:right="-625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Színház és Előadóművészetek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color w:val="000000"/>
                <w:sz w:val="20"/>
                <w:szCs w:val="20"/>
                <w:vertAlign w:val="superscript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1.5.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Képzési szint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1"/>
              <w:spacing w:after="0" w:line="240" w:lineRule="auto"/>
              <w:ind w:right="-625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Alapképzés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1"/>
              <w:spacing w:after="0" w:line="240" w:lineRule="auto"/>
              <w:ind w:left="34" w:firstLine="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1.6. Tanulmányi program / Képesítés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1"/>
              <w:spacing w:after="0" w:line="240" w:lineRule="auto"/>
              <w:ind w:right="-625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Teatrológia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– színházi újságírás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1"/>
              <w:spacing w:after="0" w:line="240" w:lineRule="auto"/>
              <w:ind w:left="34" w:firstLine="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1.7. Képzési forma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1"/>
              <w:spacing w:after="0" w:line="240" w:lineRule="auto"/>
              <w:ind w:right="-625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nappali szak</w:t>
            </w:r>
          </w:p>
        </w:tc>
      </w:tr>
    </w:tbl>
    <w:p w:rsidR="00000000" w:rsidDel="00000000" w:rsidP="00000000" w:rsidRDefault="00000000" w:rsidRPr="00000000" w14:paraId="00000015">
      <w:pPr>
        <w:spacing w:after="0" w:lineRule="auto"/>
        <w:rPr>
          <w:rFonts w:ascii="Cambria" w:cs="Cambria" w:eastAsia="Cambria" w:hAnsi="Cambria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ind w:left="142" w:hanging="567"/>
        <w:rPr>
          <w:rFonts w:ascii="Cambria" w:cs="Cambria" w:eastAsia="Cambria" w:hAnsi="Cambria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0"/>
          <w:szCs w:val="20"/>
          <w:rtl w:val="0"/>
        </w:rPr>
        <w:t xml:space="preserve">2. A tantárgy adatai</w:t>
      </w:r>
    </w:p>
    <w:tbl>
      <w:tblPr>
        <w:tblStyle w:val="Table2"/>
        <w:tblW w:w="10515.0" w:type="dxa"/>
        <w:jc w:val="left"/>
        <w:tblInd w:w="-4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  <w:tblGridChange w:id="0">
          <w:tblGrid>
            <w:gridCol w:w="1868"/>
            <w:gridCol w:w="283"/>
            <w:gridCol w:w="426"/>
            <w:gridCol w:w="1134"/>
            <w:gridCol w:w="567"/>
            <w:gridCol w:w="1984"/>
            <w:gridCol w:w="851"/>
            <w:gridCol w:w="1701"/>
            <w:gridCol w:w="283"/>
            <w:gridCol w:w="141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2.1. A tantárgy neve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Teatrológia (1)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A tantárgy kódja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VLM1704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2.2. Az előadásért felelős tanár neve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Demeter Katalin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2.3. A szemináriumért felelős tanár neve</w:t>
            </w:r>
          </w:p>
        </w:tc>
        <w:tc>
          <w:tcPr>
            <w:gridSpan w:val="6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Lovassy Cseh Tamás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2.4. Tanulmányi év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ind w:right="-203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2.5. Félév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ind w:right="-288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2.6. Értékelés módja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  <w:vertAlign w:val="superscript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2.7. Tantárgy típusa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DS</w:t>
            </w:r>
          </w:p>
        </w:tc>
      </w:tr>
    </w:tbl>
    <w:p w:rsidR="00000000" w:rsidDel="00000000" w:rsidP="00000000" w:rsidRDefault="00000000" w:rsidRPr="00000000" w14:paraId="0000003F">
      <w:pPr>
        <w:spacing w:after="0" w:lineRule="auto"/>
        <w:ind w:right="-765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ind w:right="-766" w:hanging="426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0"/>
          <w:szCs w:val="20"/>
          <w:rtl w:val="0"/>
        </w:rPr>
        <w:t xml:space="preserve">3. Teljes becsült idő </w:t>
      </w:r>
      <w:r w:rsidDel="00000000" w:rsidR="00000000" w:rsidRPr="00000000">
        <w:rPr>
          <w:rFonts w:ascii="Cambria" w:cs="Cambria" w:eastAsia="Cambria" w:hAnsi="Cambria"/>
          <w:color w:val="000000"/>
          <w:sz w:val="20"/>
          <w:szCs w:val="20"/>
          <w:rtl w:val="0"/>
        </w:rPr>
        <w:t xml:space="preserve">(az oktatási tevékenység féléves óraszáma)</w:t>
      </w:r>
    </w:p>
    <w:tbl>
      <w:tblPr>
        <w:tblStyle w:val="Table3"/>
        <w:tblpPr w:leftFromText="180" w:rightFromText="180" w:topFromText="0" w:bottomFromText="0" w:vertAnchor="text" w:horzAnchor="text" w:tblpX="-408" w:tblpY="1"/>
        <w:tblW w:w="104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39"/>
        <w:gridCol w:w="709"/>
        <w:gridCol w:w="2126"/>
        <w:gridCol w:w="567"/>
        <w:gridCol w:w="1701"/>
        <w:gridCol w:w="1276"/>
        <w:gridCol w:w="567"/>
        <w:tblGridChange w:id="0">
          <w:tblGrid>
            <w:gridCol w:w="3539"/>
            <w:gridCol w:w="709"/>
            <w:gridCol w:w="2126"/>
            <w:gridCol w:w="567"/>
            <w:gridCol w:w="1701"/>
            <w:gridCol w:w="1276"/>
            <w:gridCol w:w="567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1"/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3.1. Heti óraszám  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melyből: 3.2 előadás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3.3 szeminárium/labor/projekt</w:t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keepNext w:val="1"/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3.4. Tantervben szereplő összóraszám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42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melyből: 3.5 előadás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3.6 szeminárium/labor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4F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Az egyéni tanulmányi idő (ET) és az önképzési tevékenységekre (ÖT) szánt idő elosztása: 1 félév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óra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A tankönyv, a jegyzet, a szakirodalom vagy saját jegyzetek tanulmányozása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10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D">
            <w:pPr>
              <w:keepNext w:val="1"/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Könyvtárban, elektronikus adatbázisokban vagy terepen való további tájékozódás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10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4">
            <w:pPr>
              <w:keepNext w:val="1"/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Szemináriumok / laborok, házi feladatok, portfóliók, referátumok, esszék kidolgozása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B">
            <w:pPr>
              <w:keepNext w:val="1"/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Egyéni készségfejlesztés (tutorálás)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2">
            <w:pPr>
              <w:keepNext w:val="1"/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Vizsgák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9">
            <w:pPr>
              <w:keepNext w:val="1"/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Más tevékenységek: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3.7. Egyéni tanulmányi idő (ET) és önképzési tevékenységekre (ÖT) szánt idő összóraszáma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58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3.8. A félév összóraszáma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3.9. Kreditszám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5">
      <w:pPr>
        <w:spacing w:after="0" w:lineRule="auto"/>
        <w:ind w:left="-284" w:firstLine="0"/>
        <w:jc w:val="both"/>
        <w:rPr>
          <w:rFonts w:ascii="Cambria" w:cs="Cambria" w:eastAsia="Cambria" w:hAnsi="Cambria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0" w:line="240" w:lineRule="auto"/>
        <w:ind w:left="-284" w:hanging="141.99999999999994"/>
        <w:jc w:val="both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0"/>
          <w:szCs w:val="20"/>
          <w:rtl w:val="0"/>
        </w:rPr>
        <w:t xml:space="preserve">4. Előfeltételek (ha vannak)</w:t>
      </w:r>
      <w:r w:rsidDel="00000000" w:rsidR="00000000" w:rsidRPr="00000000">
        <w:rPr>
          <w:rtl w:val="0"/>
        </w:rPr>
      </w:r>
    </w:p>
    <w:tbl>
      <w:tblPr>
        <w:tblStyle w:val="Table4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8364"/>
        <w:tblGridChange w:id="0">
          <w:tblGrid>
            <w:gridCol w:w="2127"/>
            <w:gridCol w:w="8364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4.1. Tantervi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spacing w:after="0" w:line="240" w:lineRule="auto"/>
              <w:ind w:left="72" w:firstLine="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4.2. Kompetenciabeli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spacing w:after="0" w:line="240" w:lineRule="auto"/>
              <w:ind w:left="72" w:firstLine="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09B">
      <w:pPr>
        <w:spacing w:after="0" w:lineRule="auto"/>
        <w:ind w:right="-765" w:hanging="425"/>
        <w:rPr>
          <w:rFonts w:ascii="Cambria" w:cs="Cambria" w:eastAsia="Cambria" w:hAnsi="Cambria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0" w:line="240" w:lineRule="auto"/>
        <w:ind w:hanging="426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0"/>
          <w:szCs w:val="20"/>
          <w:rtl w:val="0"/>
        </w:rPr>
        <w:t xml:space="preserve">5. Feltételek (ha vannak)</w:t>
      </w:r>
      <w:r w:rsidDel="00000000" w:rsidR="00000000" w:rsidRPr="00000000">
        <w:rPr>
          <w:rtl w:val="0"/>
        </w:rPr>
      </w:r>
    </w:p>
    <w:tbl>
      <w:tblPr>
        <w:tblStyle w:val="Table5"/>
        <w:tblW w:w="10050.0" w:type="dxa"/>
        <w:jc w:val="left"/>
        <w:tblInd w:w="-405.0" w:type="dxa"/>
        <w:tblBorders>
          <w:top w:color="808080" w:space="0" w:sz="6" w:val="single"/>
          <w:left w:color="808080" w:space="0" w:sz="6" w:val="single"/>
          <w:bottom w:color="808080" w:space="0" w:sz="6" w:val="single"/>
          <w:right w:color="808080" w:space="0" w:sz="6" w:val="single"/>
          <w:insideH w:color="808080" w:space="0" w:sz="6" w:val="single"/>
          <w:insideV w:color="808080" w:space="0" w:sz="6" w:val="single"/>
        </w:tblBorders>
        <w:tblLayout w:type="fixed"/>
        <w:tblLook w:val="0600"/>
      </w:tblPr>
      <w:tblGrid>
        <w:gridCol w:w="4860"/>
        <w:gridCol w:w="5190"/>
        <w:tblGridChange w:id="0">
          <w:tblGrid>
            <w:gridCol w:w="4860"/>
            <w:gridCol w:w="5190"/>
          </w:tblGrid>
        </w:tblGridChange>
      </w:tblGrid>
      <w:tr>
        <w:trPr>
          <w:cantSplit w:val="0"/>
          <w:trHeight w:val="8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40" w:before="40" w:line="240" w:lineRule="auto"/>
              <w:ind w:left="0" w:firstLine="0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5.1. Az előadás lebonyolításának feltételei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Projektorral ellátott terem, infrastruktúra egyes témákhoz (vetítő, laptop, internet), könyvek valamilyen hordozón, MSTeams felület  </w:t>
            </w:r>
          </w:p>
          <w:p w:rsidR="00000000" w:rsidDel="00000000" w:rsidP="00000000" w:rsidRDefault="00000000" w:rsidRPr="00000000" w14:paraId="0000009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Előadásokon való részvétel 70%-ban kötelező  </w:t>
            </w:r>
          </w:p>
        </w:tc>
      </w:tr>
      <w:tr>
        <w:trPr>
          <w:cantSplit w:val="0"/>
          <w:trHeight w:val="11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40" w:before="40" w:line="240" w:lineRule="auto"/>
              <w:ind w:left="0" w:firstLine="0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5.2. A szeminárium / labor lebonyolításának feltételei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Infrastruktúra egyes témákhoz (vetítő, laptop, internet), az olvasott ill. elemzendő anyag valamilyen hordozón, MSTeams felület;  </w:t>
            </w:r>
          </w:p>
          <w:p w:rsidR="00000000" w:rsidDel="00000000" w:rsidP="00000000" w:rsidRDefault="00000000" w:rsidRPr="00000000" w14:paraId="000000A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Szemináriumon való részvétel 90%-ban kötelező  </w:t>
            </w:r>
          </w:p>
        </w:tc>
      </w:tr>
    </w:tbl>
    <w:p w:rsidR="00000000" w:rsidDel="00000000" w:rsidP="00000000" w:rsidRDefault="00000000" w:rsidRPr="00000000" w14:paraId="000000A3">
      <w:pPr>
        <w:spacing w:after="0" w:line="240" w:lineRule="auto"/>
        <w:ind w:hanging="425"/>
        <w:rPr>
          <w:rFonts w:ascii="Cambria" w:cs="Cambria" w:eastAsia="Cambria" w:hAnsi="Cambria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0" w:line="240" w:lineRule="auto"/>
        <w:ind w:hanging="425"/>
        <w:rPr>
          <w:rFonts w:ascii="Cambria" w:cs="Cambria" w:eastAsia="Cambria" w:hAnsi="Cambria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0"/>
          <w:szCs w:val="20"/>
          <w:rtl w:val="0"/>
        </w:rPr>
        <w:t xml:space="preserve">6. Tanulási eredmények</w:t>
      </w:r>
    </w:p>
    <w:tbl>
      <w:tblPr>
        <w:tblStyle w:val="Table6"/>
        <w:tblW w:w="10485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60"/>
        <w:gridCol w:w="8625"/>
        <w:tblGridChange w:id="0">
          <w:tblGrid>
            <w:gridCol w:w="1860"/>
            <w:gridCol w:w="8625"/>
          </w:tblGrid>
        </w:tblGridChange>
      </w:tblGrid>
      <w:tr>
        <w:trPr>
          <w:cantSplit w:val="1"/>
          <w:trHeight w:val="146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5">
            <w:pPr>
              <w:spacing w:after="0" w:line="240" w:lineRule="auto"/>
              <w:ind w:left="113" w:right="113" w:firstLine="0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Ismeretek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6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ismeri a színháztudomány alapvető fogalmait és elméleti kereteit, különös tekintettel a szcenikus folyamat, a kiemelés, a színházi kommunikáció, a jelhasználat és a teatralitás fogalmaira; tájékozódik ezek eltérő meghatározásai és megközelítései között.</w:t>
            </w:r>
          </w:p>
          <w:p w:rsidR="00000000" w:rsidDel="00000000" w:rsidP="00000000" w:rsidRDefault="00000000" w:rsidRPr="00000000" w14:paraId="000000A7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átlátja a színházi előadás mint komplex, eseményszerű és jelentésképző folyamat működését, valamint a színész–néző viszony, a befogadás és az értelmezés szerepét a színházi jelentés létrejöttében.</w:t>
            </w:r>
          </w:p>
          <w:p w:rsidR="00000000" w:rsidDel="00000000" w:rsidP="00000000" w:rsidRDefault="00000000" w:rsidRPr="00000000" w14:paraId="000000A8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ismeri a test, a tér, az idő, a szöveg és az anyagi elemek szerepét a színházi és performatív gyakorlatokban, valamint ezek történeti és kortárs elméleti kontextusait, beleértve a posztdramatikus és interdiszciplináris megközelítéseket is.</w:t>
            </w:r>
          </w:p>
        </w:tc>
      </w:tr>
      <w:tr>
        <w:trPr>
          <w:cantSplit w:val="1"/>
          <w:trHeight w:val="1398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spacing w:after="0" w:line="240" w:lineRule="auto"/>
              <w:ind w:left="113" w:right="113" w:firstLine="0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Szakmai kompetenciák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színházelméleti és teatrológiai szövegek önálló, kritikai olvasására, azok fogalmi apparátusának értelmezésére és alkalmazására elemzési helyzetekben.</w:t>
            </w:r>
          </w:p>
          <w:p w:rsidR="00000000" w:rsidDel="00000000" w:rsidP="00000000" w:rsidRDefault="00000000" w:rsidRPr="00000000" w14:paraId="000000AB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színházi előadások és performatív események elemzésére a szemiotika, a teatralitás és a szcenikus folyamat fogalmi keretrendszereinek segítségével, különböző jelentésképző rétegek azonosításával.</w:t>
            </w:r>
          </w:p>
          <w:p w:rsidR="00000000" w:rsidDel="00000000" w:rsidP="00000000" w:rsidRDefault="00000000" w:rsidRPr="00000000" w14:paraId="000000AC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a színháztudomány elméleti megközelítéseit integrálni saját elemző, kritikai vagy értelmező gondolkodásába, valamint ezek mentén koherens szóbeli és írásbeli elemzéseket megfogalmazni.</w:t>
            </w:r>
          </w:p>
        </w:tc>
      </w:tr>
      <w:tr>
        <w:trPr>
          <w:cantSplit w:val="1"/>
          <w:trHeight w:val="1699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Transverzális kompetenciák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E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önállóan és felelősen gondolkodni kulturális és művészeti jelenségekről, reflektál saját értelmezési és befogadói pozíciójára, valamint kritikusan viszonyul a színház társadalmi és intézményi kereteihez.</w:t>
            </w:r>
          </w:p>
          <w:p w:rsidR="00000000" w:rsidDel="00000000" w:rsidP="00000000" w:rsidRDefault="00000000" w:rsidRPr="00000000" w14:paraId="000000AF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nyitott a különböző értelmezési horizontok közötti párbeszédre, képes saját álláspontját más nézőpontokkal összevetni, valamint konstruktívan részt venni szakmai beszélgetésekben és csoportmunkában.</w:t>
            </w:r>
          </w:p>
          <w:p w:rsidR="00000000" w:rsidDel="00000000" w:rsidP="00000000" w:rsidRDefault="00000000" w:rsidRPr="00000000" w14:paraId="000000B0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fejlett kritikai és reflexív gondolkodással közelít komplex művészeti, kulturális és társadalmi jelenségekhez, képes interdiszciplináris összefüggések felismerésére és értelmezésére, valamint érvekkel alátámasztott szakmai vélemény megfogalmazására szóban és írásban.</w:t>
            </w:r>
          </w:p>
        </w:tc>
      </w:tr>
    </w:tbl>
    <w:p w:rsidR="00000000" w:rsidDel="00000000" w:rsidP="00000000" w:rsidRDefault="00000000" w:rsidRPr="00000000" w14:paraId="000000B1">
      <w:pPr>
        <w:spacing w:after="0" w:line="240" w:lineRule="auto"/>
        <w:rPr>
          <w:rFonts w:ascii="Cambria" w:cs="Cambria" w:eastAsia="Cambria" w:hAnsi="Cambria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after="0" w:line="240" w:lineRule="auto"/>
        <w:ind w:hanging="425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0"/>
          <w:szCs w:val="20"/>
          <w:rtl w:val="0"/>
        </w:rPr>
        <w:t xml:space="preserve">7. A tantárgy célkitűzései </w:t>
      </w:r>
      <w:r w:rsidDel="00000000" w:rsidR="00000000" w:rsidRPr="00000000">
        <w:rPr>
          <w:rFonts w:ascii="Cambria" w:cs="Cambria" w:eastAsia="Cambria" w:hAnsi="Cambria"/>
          <w:color w:val="000000"/>
          <w:sz w:val="20"/>
          <w:szCs w:val="20"/>
          <w:rtl w:val="0"/>
        </w:rPr>
        <w:t xml:space="preserve">(az elsajátítandó jellemző kompetenciák alapján)</w:t>
      </w:r>
    </w:p>
    <w:tbl>
      <w:tblPr>
        <w:tblStyle w:val="Table7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45"/>
        <w:gridCol w:w="6946"/>
        <w:tblGridChange w:id="0">
          <w:tblGrid>
            <w:gridCol w:w="3545"/>
            <w:gridCol w:w="6946"/>
          </w:tblGrid>
        </w:tblGridChange>
      </w:tblGrid>
      <w:tr>
        <w:trPr>
          <w:cantSplit w:val="1"/>
          <w:trHeight w:val="1003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3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7.1 A tantárgy általános célkitűzése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Teatrológia tantárgy célja a színház mint összetett kulturális, társadalmi és művészeti jelenség tudományos megközelítése. A kurzus alapját Andreas Kotte: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Bevezetés a színháztudományba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című munkája képezi, amelyet történeti, elméleti és interdiszciplináris kitekintések egészítenek ki. A hallgatók megismerkednek a színháztudomány alapfogalmaival, módszereivel, valamint a színház elemzésének klasszikus és kortárs megközelítéseivel.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3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7.2 A tantárgy sajátos célkitűzései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tantárgy sajátos célja, hogy a hallgatók képessé váljanak a színházi előadás mint szcenikus és kommunikációs folyamat értelmezésére, különös tekintettel a kiemelés, a jelentésképzés és a befogadás összefüggéseire.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kurzus célja továbbá, hogy a hallgatók megismerjék és alkalmazni tudják a színháztudomány alapvető fogalmi és módszertani apparátusát (szcenikus folyamat, jelhasználat, teatralitás), és ezek segítségével önálló elemzéseket végezzenek különböző színházi és performatív jelenségeken.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tantárgy célja, hogy fejlessze a hallgatók kritikai és reflexív gondolkodását a színház társadalmi, kulturális és esztétikai működésével kapcsolatban, valamint elősegítse a színházi jelenségek történeti és kortárs kontextusainak tudatos értelmezését.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kurzus célja ugyanakkor, hogy a hallgatók betekintést nyerjenek a színháztudomány interdiszciplináris kapcsolódásaiba (performanszelmélet, kultúratudomány, antropológia), és képesek legyenek a különböző elméleti megközelítések közötti összefüggések felismerésére és értelmezésére.</w:t>
            </w:r>
          </w:p>
        </w:tc>
      </w:tr>
    </w:tbl>
    <w:p w:rsidR="00000000" w:rsidDel="00000000" w:rsidP="00000000" w:rsidRDefault="00000000" w:rsidRPr="00000000" w14:paraId="000000BA">
      <w:pPr>
        <w:spacing w:after="0" w:line="240" w:lineRule="auto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after="0" w:line="240" w:lineRule="auto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after="0" w:line="240" w:lineRule="auto"/>
        <w:ind w:hanging="425"/>
        <w:rPr>
          <w:rFonts w:ascii="Cambria" w:cs="Cambria" w:eastAsia="Cambria" w:hAnsi="Cambria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0"/>
          <w:szCs w:val="20"/>
          <w:rtl w:val="0"/>
        </w:rPr>
        <w:t xml:space="preserve">8. A tantárgy tartalma</w:t>
      </w:r>
    </w:p>
    <w:tbl>
      <w:tblPr>
        <w:tblStyle w:val="Table8"/>
        <w:tblW w:w="1048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720"/>
        <w:gridCol w:w="3135"/>
        <w:gridCol w:w="3630"/>
        <w:tblGridChange w:id="0">
          <w:tblGrid>
            <w:gridCol w:w="3720"/>
            <w:gridCol w:w="3135"/>
            <w:gridCol w:w="3630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8.1 Előadás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Didaktikai módszerek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F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Megjegyzések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Mi a színház? Mi a teatrológia?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close reading, kulcsfogalmak tisztázása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színház meghatározásának problémái</w:t>
            </w:r>
          </w:p>
          <w:p w:rsidR="00000000" w:rsidDel="00000000" w:rsidP="00000000" w:rsidRDefault="00000000" w:rsidRPr="00000000" w14:paraId="000000C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teatrológia mint tudományág kialakulása</w:t>
            </w:r>
          </w:p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Kotte alapfogalmai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A színháztudomány története</w:t>
            </w:r>
          </w:p>
          <w:p w:rsidR="00000000" w:rsidDel="00000000" w:rsidP="00000000" w:rsidRDefault="00000000" w:rsidRPr="00000000" w14:paraId="000000C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close reading, kulcsfogalmak tisztázása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Filológiai és történeti gyökerek</w:t>
            </w:r>
          </w:p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Német színháztudomány és hatásai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Intézményesülés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Színház és performativitás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vitaindító, csoportmunka, közös beszélgetés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 mint esemény</w:t>
            </w:r>
          </w:p>
          <w:p w:rsidR="00000000" w:rsidDel="00000000" w:rsidP="00000000" w:rsidRDefault="00000000" w:rsidRPr="00000000" w14:paraId="000000D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Performativitás fogalma</w:t>
            </w:r>
          </w:p>
          <w:p w:rsidR="00000000" w:rsidDel="00000000" w:rsidP="00000000" w:rsidRDefault="00000000" w:rsidRPr="00000000" w14:paraId="000000D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 és rítus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Szcenikus folyamatok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csoportmunka, előadásrészletek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szituáció, folyamat</w:t>
            </w:r>
          </w:p>
          <w:p w:rsidR="00000000" w:rsidDel="00000000" w:rsidP="00000000" w:rsidRDefault="00000000" w:rsidRPr="00000000" w14:paraId="000000D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Tér, gesztus, hang és attribútumok általi kiemelés</w:t>
            </w:r>
          </w:p>
          <w:p w:rsidR="00000000" w:rsidDel="00000000" w:rsidP="00000000" w:rsidRDefault="00000000" w:rsidRPr="00000000" w14:paraId="000000D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szcenikus folyamatok sémája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A színházi kommunikáció modelljei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close reading, kulcsfogalmak tisztázása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Színész–néző viszony</w:t>
            </w:r>
          </w:p>
          <w:p w:rsidR="00000000" w:rsidDel="00000000" w:rsidP="00000000" w:rsidRDefault="00000000" w:rsidRPr="00000000" w14:paraId="000000D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Jelhasználat és jelentésképzés</w:t>
            </w:r>
          </w:p>
          <w:p w:rsidR="00000000" w:rsidDel="00000000" w:rsidP="00000000" w:rsidRDefault="00000000" w:rsidRPr="00000000" w14:paraId="000000D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Kotte kommunikációs modellje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Néző és recepció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csoportmunka, közös beszélgetés, írásgyakorlat az órán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Befogadáselméletek</w:t>
            </w:r>
          </w:p>
          <w:p w:rsidR="00000000" w:rsidDel="00000000" w:rsidP="00000000" w:rsidRDefault="00000000" w:rsidRPr="00000000" w14:paraId="000000E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Nézői pozíciók</w:t>
            </w:r>
          </w:p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Értelmezési közösségek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Színházi szemiotika: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jel, jelentés, jelentésképzés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csoportmunka, közös beszélgetés, írásgyakorlat az órán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Jel–jelentés–értelem fogalmai</w:t>
            </w:r>
          </w:p>
          <w:p w:rsidR="00000000" w:rsidDel="00000000" w:rsidP="00000000" w:rsidRDefault="00000000" w:rsidRPr="00000000" w14:paraId="000000E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Test, tér, hang, tárgy mint jelhordozók</w:t>
            </w:r>
          </w:p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Jelrendszerek együttműködése az előadásban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Teatralitás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close reading, kulcsfogalmak tisztázása, előadásrészletek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teatralitás fogalma és modelljei</w:t>
            </w:r>
          </w:p>
          <w:p w:rsidR="00000000" w:rsidDel="00000000" w:rsidP="00000000" w:rsidRDefault="00000000" w:rsidRPr="00000000" w14:paraId="000000E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Teatralizálás folyamata</w:t>
            </w:r>
          </w:p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Teatralitás mint jelentés- és közösségképző struktúra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Színház és test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close reading, kulcsfogalmak tisztázása, előadásrészletek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színész teste mint médium</w:t>
            </w:r>
          </w:p>
          <w:p w:rsidR="00000000" w:rsidDel="00000000" w:rsidP="00000000" w:rsidRDefault="00000000" w:rsidRPr="00000000" w14:paraId="000000E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Testkoncepciók a színháztörténetben</w:t>
            </w:r>
          </w:p>
          <w:p w:rsidR="00000000" w:rsidDel="00000000" w:rsidP="00000000" w:rsidRDefault="00000000" w:rsidRPr="00000000" w14:paraId="000000F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Fizikalitás és jelenlét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Tér és színház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2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close reading, kulcsfogalmak tisztázása, előadásrészletek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Színházi terek típusai</w:t>
            </w:r>
          </w:p>
          <w:p w:rsidR="00000000" w:rsidDel="00000000" w:rsidP="00000000" w:rsidRDefault="00000000" w:rsidRPr="00000000" w14:paraId="000000F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Térhasználat és jelentés</w:t>
            </w:r>
          </w:p>
          <w:p w:rsidR="00000000" w:rsidDel="00000000" w:rsidP="00000000" w:rsidRDefault="00000000" w:rsidRPr="00000000" w14:paraId="000000F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Alternatív és helyspecifikus terek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Idő és dramaturgia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close reading, kulcsfogalmak tisztázása, előadásrészletek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Színházi idő</w:t>
            </w:r>
          </w:p>
          <w:p w:rsidR="00000000" w:rsidDel="00000000" w:rsidP="00000000" w:rsidRDefault="00000000" w:rsidRPr="00000000" w14:paraId="000000F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Dramaturgiai alapfogalmak</w:t>
            </w:r>
          </w:p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Klasszikus és posztdramatikus struktúrák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Színház és szöveg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vitaindító, csoportmunka, közös beszélgetés, írásgyakorlat az órán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Dráma és előadás viszonya</w:t>
            </w:r>
          </w:p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drámaszöveg változó szerepe</w:t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Intertextualitás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Posztdramatikus színház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1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close reading, kulcsfogalmak tisztázása, előadásrészletek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Hans-Thies Lehmann elmélete</w:t>
            </w:r>
          </w:p>
          <w:p w:rsidR="00000000" w:rsidDel="00000000" w:rsidP="00000000" w:rsidRDefault="00000000" w:rsidRPr="00000000" w14:paraId="0000010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Narrativitás felbomlása</w:t>
            </w:r>
          </w:p>
          <w:p w:rsidR="00000000" w:rsidDel="00000000" w:rsidP="00000000" w:rsidRDefault="00000000" w:rsidRPr="00000000" w14:paraId="0000010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Példák kortárs előadásokból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Interdiszciplináris megközelítések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close reading, előadásrészletek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 és antropológia</w:t>
            </w:r>
          </w:p>
          <w:p w:rsidR="00000000" w:rsidDel="00000000" w:rsidP="00000000" w:rsidRDefault="00000000" w:rsidRPr="00000000" w14:paraId="0000010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 és kultúratudomány</w:t>
            </w:r>
          </w:p>
          <w:p w:rsidR="00000000" w:rsidDel="00000000" w:rsidP="00000000" w:rsidRDefault="00000000" w:rsidRPr="00000000" w14:paraId="0000010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 és média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0A">
            <w:pPr>
              <w:spacing w:after="0" w:before="0" w:line="240" w:lineRule="auto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Könyvészet:</w:t>
            </w:r>
          </w:p>
          <w:p w:rsidR="00000000" w:rsidDel="00000000" w:rsidP="00000000" w:rsidRDefault="00000000" w:rsidRPr="00000000" w14:paraId="0000010B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Balme, Christopher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The Cambridge Introduction to Theatre Studies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Cambridge, Cambridge University Press, 2008.</w:t>
            </w:r>
          </w:p>
          <w:p w:rsidR="00000000" w:rsidDel="00000000" w:rsidP="00000000" w:rsidRDefault="00000000" w:rsidRPr="00000000" w14:paraId="0000010C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Elam, Keir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The Semiotics of Theatre and Drama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London–New York, Routledge, 1980.</w:t>
            </w:r>
          </w:p>
          <w:p w:rsidR="00000000" w:rsidDel="00000000" w:rsidP="00000000" w:rsidRDefault="00000000" w:rsidRPr="00000000" w14:paraId="0000010D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Fischer-Lichte, Erika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A performativitás esztétikája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Ford. Kiss Gabriella. Budapest, Balassi, 2009.</w:t>
            </w:r>
          </w:p>
          <w:p w:rsidR="00000000" w:rsidDel="00000000" w:rsidP="00000000" w:rsidRDefault="00000000" w:rsidRPr="00000000" w14:paraId="0000010E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Imre Zoltán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A színház és a szemiotika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Budapest, L’Harmattan, 2002.</w:t>
            </w:r>
          </w:p>
          <w:p w:rsidR="00000000" w:rsidDel="00000000" w:rsidP="00000000" w:rsidRDefault="00000000" w:rsidRPr="00000000" w14:paraId="0000010F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Kotte, Andreas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Bevezetés a színháztudományba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Budapest, Balassi, 2015.</w:t>
            </w:r>
          </w:p>
          <w:p w:rsidR="00000000" w:rsidDel="00000000" w:rsidP="00000000" w:rsidRDefault="00000000" w:rsidRPr="00000000" w14:paraId="00000110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Kricsfalusi Beatrix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A színház és a teatralitás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Budapest, Balassi, 2013.</w:t>
            </w:r>
          </w:p>
          <w:p w:rsidR="00000000" w:rsidDel="00000000" w:rsidP="00000000" w:rsidRDefault="00000000" w:rsidRPr="00000000" w14:paraId="00000111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Lehmann, Hans-Thies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Posztdramatikus színház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Ford. Kricsfalusi Beatrix, Berecz Zsuzsa, Schein Gábor. Budapest, Balassi, 2009.</w:t>
            </w:r>
          </w:p>
          <w:p w:rsidR="00000000" w:rsidDel="00000000" w:rsidP="00000000" w:rsidRDefault="00000000" w:rsidRPr="00000000" w14:paraId="00000112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Pavis, Patrice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Színházi szótár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Budapest, Balassi, 1999.</w:t>
            </w:r>
          </w:p>
          <w:p w:rsidR="00000000" w:rsidDel="00000000" w:rsidP="00000000" w:rsidRDefault="00000000" w:rsidRPr="00000000" w14:paraId="00000113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Schechner, Richard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Performance Studies: An Introduction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London–New York, Routledge, 2002. </w:t>
            </w:r>
          </w:p>
        </w:tc>
      </w:tr>
    </w:tbl>
    <w:p w:rsidR="00000000" w:rsidDel="00000000" w:rsidP="00000000" w:rsidRDefault="00000000" w:rsidRPr="00000000" w14:paraId="00000116">
      <w:pPr>
        <w:spacing w:after="0" w:line="240" w:lineRule="auto"/>
        <w:ind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1838516404"/>
        <w:tag w:val="goog_rdk_0"/>
      </w:sdtPr>
      <w:sdtContent>
        <w:tbl>
          <w:tblPr>
            <w:tblStyle w:val="Table9"/>
            <w:tblW w:w="10485.0" w:type="dxa"/>
            <w:jc w:val="center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000"/>
          </w:tblPr>
          <w:tblGrid>
            <w:gridCol w:w="3720"/>
            <w:gridCol w:w="3135"/>
            <w:gridCol w:w="3630"/>
            <w:tblGridChange w:id="0">
              <w:tblGrid>
                <w:gridCol w:w="3720"/>
                <w:gridCol w:w="3135"/>
                <w:gridCol w:w="3630"/>
              </w:tblGrid>
            </w:tblGridChange>
          </w:tblGrid>
          <w:tr>
            <w:trPr>
              <w:cantSplit w:val="0"/>
              <w:trHeight w:val="284" w:hRule="atLeast"/>
              <w:tblHeader w:val="0"/>
            </w:trPr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117">
                <w:pPr>
                  <w:spacing w:after="0" w:line="240" w:lineRule="auto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8.2 Szeminárium/Labor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118">
                <w:pPr>
                  <w:spacing w:after="0" w:line="240" w:lineRule="auto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Didaktikai módszerek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119">
                <w:pPr>
                  <w:spacing w:after="0" w:line="240" w:lineRule="auto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Megjegyzések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11A">
                <w:pPr>
                  <w:spacing w:after="0" w:line="240" w:lineRule="auto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Elemzés és kritika – módszertani alapok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11B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irányított close reading elméleti szövegekből, csoportos elemző gyakorlatok, vitaindító kérdések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11C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A szemináriumi tevékenység céljainak tisztázása; a tudományos elemzés, a kritika és a recenzió közötti különbség; a teatrológiai alapterminológia használata.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11D">
                <w:pPr>
                  <w:spacing w:after="0" w:line="240" w:lineRule="auto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Megfigyelési jegyzőkönyvek készítése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11E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irányított close reading elméleti szövegekből, csoportos elemző gyakorlatok, vitaindító kérdések, az órán hallgatói prezentációk, moderált szakmai viták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11F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Hogyan nézzük az előadást a teatrológus nézőpontjából: jegyzetelési technikák, megfigyelési szempontok, a leíró és az értelmező szintek elkülönítése.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120">
                <w:pPr>
                  <w:spacing w:after="0" w:line="240" w:lineRule="auto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Az előadásleírás mint elemző műfaj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121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irányított close reading elméleti szövegekből, csoportos elemző gyakorlatok, vitaindító kérdések, az órán hallgatói prezentációk, moderált szakmai viták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122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A színpadi elemek objektív leírásának gyakorlása; a tér, a test, a hang és a ritmus rögzítése értékelő nyelv használata nélkül.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123">
                <w:pPr>
                  <w:spacing w:after="0" w:line="240" w:lineRule="auto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Az elemzési tengelyek felépítése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124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irányított close reading elméleti szövegekből, csoportos elemző gyakorlatok, vitaindító kérdések, az órán hallgatói prezentációk, moderált szakmai viták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125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Kiemelés, fókusz és struktúra: a megfigyelés átültetése argumentált elemzésbe.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126">
                <w:pPr>
                  <w:spacing w:after="0" w:line="240" w:lineRule="auto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A fogalomhasználat ellenőrzése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127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irányított close reading elméleti szövegekből, csoportos elemző gyakorlatok, vitaindító kérdések, az órán hallgatói prezentációk, moderált szakmai viták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128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A teatralitás, a szcenikus folyamat és a performativitás fogalmainak alkalmazása konkrét példákon.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129">
                <w:pPr>
                  <w:spacing w:after="0" w:line="240" w:lineRule="auto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Befogadói pozíciók és nézői stratégiák</w:t>
                </w:r>
              </w:p>
              <w:p w:rsidR="00000000" w:rsidDel="00000000" w:rsidP="00000000" w:rsidRDefault="00000000" w:rsidRPr="00000000" w14:paraId="0000012A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12B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irányított close reading elméleti szövegekből, csoportos elemző gyakorlatok, vitaindító kérdések, az órán hallgatói prezentációk, moderált szakmai viták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12C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Saját befogadói perspektíva reflektálása; nézői pozíciók összevetése.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12D">
                <w:pPr>
                  <w:spacing w:after="0" w:line="240" w:lineRule="auto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I. Esettanulmány: egy realista és egy posztdramatikus előadás összehasonlítása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12E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irányított close reading elméleti szövegekből, csoportos elemző gyakorlatok, előadásrészletek közös elemzése, vitaindító kérdések, rövid írásgyakorlatok, hallgatói prezentációk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12F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Ugyanazon elemzési szempontok alkalmazása eltérő esztétikákra.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130">
                <w:pPr>
                  <w:spacing w:after="0" w:line="240" w:lineRule="auto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A dramaturgiai logikák azonosítása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131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irányított close reading elméleti szövegekből, csoportos elemző gyakorlatok, vitaindító kérdések, az órán hallgatói prezentációk, moderált szakmai viták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132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Az időkezelés, az ismétlés, a fragmentáltság és a narrativitás problémái.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133">
                <w:pPr>
                  <w:spacing w:after="0" w:line="240" w:lineRule="auto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A szöveg–előadás viszony gyakorlati elemzése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134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irányított close reading elméleti szövegekből, csoportos elemző gyakorlatok, vitaindító kérdések, az órán hallgatói prezentációk, moderált szakmai viták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135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A drámaszöveg adaptációja, kihagyások, átrendezés és színpadi átírás.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136">
                <w:pPr>
                  <w:spacing w:after="0" w:line="240" w:lineRule="auto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Az interdiszciplináris olvasatok gyakorlása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137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irányított close reading elméleti szövegekből, csoportos elemző gyakorlatok, vitaindító kérdések, az órán hallgatói prezentációk, moderált szakmai viták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138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Antropológiai, média- és performanszelméleti szempontok alkalmazása.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139">
                <w:pPr>
                  <w:spacing w:after="0" w:line="240" w:lineRule="auto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I. Kritikaíró műhely: szerkezet és érvelés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13A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irányított close reading elméleti szövegekből, csoportos elemző gyakorlatok, előadásrészletek közös elemzése, vitaindító kérdések, rövid írásgyakorlatok, hallgatói prezentációk, kritikai szövegek megfogalmazása és átírása, moderált szakmai viták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13B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A tézis megfogalmazása, az elemző bekezdések felépítése és a példák használata.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13C">
                <w:pPr>
                  <w:spacing w:after="0" w:line="240" w:lineRule="auto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II. Kritikaíró műhely: terminológia és stílus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13D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irányított close reading elméleti szövegekből, csoportos elemző gyakorlatok, előadásrészletek közös elemzése, vitaindító kérdések, rövid írásgyakorlatok, hallgatói prezentációk, kritikai szövegek megfogalmazása és átírása, moderált szakmai viták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13E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A tudományos nyelv és a publicisztikai stílus közötti különbség; a fogalmak pontos használata.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13F">
                <w:pPr>
                  <w:spacing w:after="0" w:line="240" w:lineRule="auto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Átírás és reflexió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140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irányított close reading elméleti szövegekből, csoportos elemző gyakorlatok, előadásrészletek közös elemzése, vitaindító kérdések, rövid írásgyakorlatok, hallgatói prezentációk, kritikai szövegek megfogalmazása és átírása, moderált szakmai viták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141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A hallgatói szövegek közös elemzése; a szerkezet javítása és az érvelés kiegészítése.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142">
                <w:pPr>
                  <w:spacing w:after="0" w:line="240" w:lineRule="auto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Záróműhely és prezentációk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143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irányított close reading elméleti szövegekből, csoportos elemző gyakorlatok, előadásrészletek közös elemzése, vitaindító kérdések, rövid írásgyakorlatok, hallgatói prezentációk, kritikai szövegek megfogalmazása és átírása, moderált szakmai viták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144">
                <w:pPr>
                  <w:spacing w:after="240" w:before="240" w:line="240" w:lineRule="auto"/>
                  <w:ind w:left="0" w:firstLine="0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Az egyéni elemzések bemutatása és értékelése a vizsgakövetelmények alapján.</w:t>
                </w:r>
              </w:p>
            </w:tc>
          </w:tr>
        </w:tbl>
      </w:sdtContent>
    </w:sdt>
    <w:p w:rsidR="00000000" w:rsidDel="00000000" w:rsidP="00000000" w:rsidRDefault="00000000" w:rsidRPr="00000000" w14:paraId="00000145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spacing w:after="0" w:line="240" w:lineRule="auto"/>
        <w:ind w:left="-426" w:firstLine="0"/>
        <w:jc w:val="both"/>
        <w:rPr>
          <w:rFonts w:ascii="Cambria" w:cs="Cambria" w:eastAsia="Cambria" w:hAnsi="Cambria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0"/>
          <w:szCs w:val="20"/>
          <w:rtl w:val="0"/>
        </w:rPr>
        <w:t xml:space="preserve">9. Az episztemikus közösségek képviselői, a szakmai egyesületek és a szakterület reprezentatív munkáltatói elvárásainak összhangba hozása a tantárgy tartalmával.</w:t>
      </w:r>
    </w:p>
    <w:tbl>
      <w:tblPr>
        <w:tblStyle w:val="Table10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1365" w:hRule="atLeast"/>
          <w:tblHeader w:val="0"/>
        </w:trPr>
        <w:tc>
          <w:tcPr/>
          <w:p w:rsidR="00000000" w:rsidDel="00000000" w:rsidP="00000000" w:rsidRDefault="00000000" w:rsidRPr="00000000" w14:paraId="000001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kurzus tartalma és módszertana közvetlenül válaszol a hazai és nemzetközi színháztudományi diskurzusok elvárásaira, valamint a kulturális újságírás munkaerőpiaci igényeire. A hallgatók elsajátítják azokat az elméleti alapokat (szemiotika, performativitás-elmélet), amelyek elengedhetetlenek a szakmai elemzésekhez és kritikákhoz. A tantárgy fókusza a kritikai és reflexív gondolkodás fejlesztésén van, amely képessé teszi a hallgatókat arra, hogy a színházi jelenségeket ne csak esztétikai, hanem társadalmi és interdiszciplináris kontextusban is értelmezzék.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8">
      <w:pPr>
        <w:spacing w:after="0" w:line="240" w:lineRule="auto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spacing w:after="0" w:line="240" w:lineRule="auto"/>
        <w:ind w:hanging="425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0"/>
          <w:szCs w:val="20"/>
          <w:rtl w:val="0"/>
        </w:rPr>
        <w:t xml:space="preserve">10. Értékelés</w:t>
      </w:r>
      <w:r w:rsidDel="00000000" w:rsidR="00000000" w:rsidRPr="00000000">
        <w:rPr>
          <w:rtl w:val="0"/>
        </w:rPr>
      </w:r>
    </w:p>
    <w:tbl>
      <w:tblPr>
        <w:tblStyle w:val="Table11"/>
        <w:tblW w:w="10492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85"/>
        <w:gridCol w:w="2837"/>
        <w:gridCol w:w="2692"/>
        <w:gridCol w:w="2978"/>
        <w:tblGridChange w:id="0">
          <w:tblGrid>
            <w:gridCol w:w="1985"/>
            <w:gridCol w:w="2837"/>
            <w:gridCol w:w="2692"/>
            <w:gridCol w:w="297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Tevékenység típusa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B">
            <w:pPr>
              <w:spacing w:after="0" w:line="240" w:lineRule="auto"/>
              <w:ind w:left="46" w:right="-154" w:firstLine="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10.1 Értékelési kritériumok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10.2 Értékelési módszerek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10.3 Aránya a végső jegyben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10.4 Előadás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F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A jegy megszerzésének feltétele a kötelező szakirodalomból felkészült, aktív órai jelenlét; alapvető fogalmi ismeretek; részvétel az órai vitákban.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Vizsga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151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50%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3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Vitaindító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/bemutató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 egy előre egyeztetett, a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z órai tematikához kapcsolódó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szövegből</w:t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8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ind w:right="-15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10.5 Szeminárium / </w:t>
            </w:r>
          </w:p>
          <w:p w:rsidR="00000000" w:rsidDel="00000000" w:rsidP="00000000" w:rsidRDefault="00000000" w:rsidRPr="00000000" w14:paraId="00000157">
            <w:pPr>
              <w:spacing w:after="0" w:line="240" w:lineRule="auto"/>
              <w:ind w:right="-15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Labor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féléves tevékenység, valamint egy leadott munka (kritika vagy előadáselemzés) értékelése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Féléves tevékenység értékelése (50%)</w:t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Beadandó (kritika vagy előadáselemzés) értékelése (50%)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50%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shd w:fill="auto" w:val="clear"/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10.6 A teljesítmény minimumkövetelményei</w:t>
            </w:r>
          </w:p>
        </w:tc>
      </w:tr>
      <w:tr>
        <w:trPr>
          <w:cantSplit w:val="0"/>
          <w:trHeight w:val="1252" w:hRule="atLeast"/>
          <w:tblHeader w:val="0"/>
        </w:trP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Rendszeres és aktív részvétel a foglalkozásokon: az előadások legalább 70%-án (minimum 10 alkalom), a szemináriumok legalább 90%-án való jelenlét kötelező.</w:t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tárgyalt szövegek ismerete,, alapszintű fogalmi tájékozottság a tárgyalt szerzők elméleti megközelítéseiben</w:t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színháztudomány alapvető terminológiájának (pl. szcenikus folyamat, kiemelés, teatralitás, performativitás) magabiztos használata és felismerése konkrét előadáspéldákon keresztül. Annak képessége, hogy a hallgató különbséget tegyen a drámaszöveg és az előadás mint esemény között, valamint értelmezze a néző szerepét a jelentésképzés folyamatában.</w:t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Egy választott szakszöveg alapján készített vitaindító prezentáció megtartása az előadáson.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8">
      <w:pPr>
        <w:spacing w:after="0" w:line="240" w:lineRule="auto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spacing w:after="0" w:line="240" w:lineRule="auto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spacing w:after="0" w:line="240" w:lineRule="auto"/>
        <w:ind w:hanging="425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0"/>
          <w:szCs w:val="20"/>
          <w:rtl w:val="0"/>
        </w:rPr>
        <w:t xml:space="preserve">11. SDG ikonok </w:t>
      </w:r>
      <w:r w:rsidDel="00000000" w:rsidR="00000000" w:rsidRPr="00000000">
        <w:rPr>
          <w:rFonts w:ascii="Cambria" w:cs="Cambria" w:eastAsia="Cambria" w:hAnsi="Cambria"/>
          <w:color w:val="000000"/>
          <w:sz w:val="20"/>
          <w:szCs w:val="20"/>
          <w:rtl w:val="0"/>
        </w:rPr>
        <w:t xml:space="preserve">(Fenntartható fejlődési célok/ Sustainable Development Goals)</w:t>
      </w:r>
      <w:r w:rsidDel="00000000" w:rsidR="00000000" w:rsidRPr="00000000">
        <w:rPr>
          <w:rFonts w:ascii="Cambria" w:cs="Cambria" w:eastAsia="Cambria" w:hAnsi="Cambria"/>
          <w:color w:val="000000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tbl>
      <w:tblPr>
        <w:tblStyle w:val="Table12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  <w:tblGridChange w:id="0">
          <w:tblGrid>
            <w:gridCol w:w="1165"/>
            <w:gridCol w:w="1166"/>
            <w:gridCol w:w="1166"/>
            <w:gridCol w:w="1165"/>
            <w:gridCol w:w="1166"/>
            <w:gridCol w:w="1166"/>
            <w:gridCol w:w="1165"/>
            <w:gridCol w:w="1166"/>
            <w:gridCol w:w="1166"/>
          </w:tblGrid>
        </w:tblGridChange>
      </w:tblGrid>
      <w:tr>
        <w:trPr>
          <w:cantSplit w:val="0"/>
          <w:trHeight w:val="10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B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13972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b="0" l="0" r="0" t="0"/>
                  <wp:wrapNone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950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16C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rtl w:val="0"/>
              </w:rPr>
              <w:t xml:space="preserve">A fenntartható fejlődés általános ikonja</w:t>
            </w:r>
          </w:p>
        </w:tc>
      </w:tr>
      <w:tr>
        <w:trPr>
          <w:cantSplit w:val="0"/>
          <w:trHeight w:val="11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4">
            <w:pPr>
              <w:ind w:right="-537"/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5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6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7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8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B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C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D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E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F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0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1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2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3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4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5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6">
      <w:pPr>
        <w:spacing w:after="0" w:line="240" w:lineRule="auto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spacing w:after="0" w:line="240" w:lineRule="auto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spacing w:after="0" w:line="240" w:lineRule="auto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491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553"/>
        <w:gridCol w:w="2971"/>
        <w:gridCol w:w="998"/>
        <w:gridCol w:w="3969"/>
        <w:tblGridChange w:id="0">
          <w:tblGrid>
            <w:gridCol w:w="2553"/>
            <w:gridCol w:w="2971"/>
            <w:gridCol w:w="998"/>
            <w:gridCol w:w="3969"/>
          </w:tblGrid>
        </w:tblGridChange>
      </w:tblGrid>
      <w:tr>
        <w:trPr>
          <w:cantSplit w:val="0"/>
          <w:trHeight w:val="14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89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rtl w:val="0"/>
              </w:rPr>
              <w:t xml:space="preserve">Kitöltés időpontja:</w:t>
            </w:r>
          </w:p>
          <w:p w:rsidR="00000000" w:rsidDel="00000000" w:rsidP="00000000" w:rsidRDefault="00000000" w:rsidRPr="00000000" w14:paraId="0000018A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8C">
            <w:pPr>
              <w:spacing w:line="480" w:lineRule="auto"/>
              <w:jc w:val="center"/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spacing w:line="480" w:lineRule="auto"/>
              <w:jc w:val="center"/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rtl w:val="0"/>
              </w:rPr>
              <w:t xml:space="preserve">Előadás felelőse:</w:t>
            </w:r>
          </w:p>
          <w:p w:rsidR="00000000" w:rsidDel="00000000" w:rsidP="00000000" w:rsidRDefault="00000000" w:rsidRPr="00000000" w14:paraId="0000018E">
            <w:pPr>
              <w:spacing w:after="240" w:line="480" w:lineRule="auto"/>
              <w:jc w:val="center"/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Demeter Katalin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0">
            <w:pPr>
              <w:spacing w:line="480" w:lineRule="auto"/>
              <w:jc w:val="center"/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rtl w:val="0"/>
              </w:rPr>
              <w:t xml:space="preserve">Szeminárium felelőse:</w:t>
            </w:r>
          </w:p>
          <w:p w:rsidR="00000000" w:rsidDel="00000000" w:rsidP="00000000" w:rsidRDefault="00000000" w:rsidRPr="00000000" w14:paraId="00000191">
            <w:pPr>
              <w:spacing w:line="480" w:lineRule="auto"/>
              <w:jc w:val="center"/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Lovassy Cseh Tamás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2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93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5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96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rtl w:val="0"/>
              </w:rPr>
              <w:t xml:space="preserve">Az intézeti jóváhagyás dátuma:</w:t>
            </w:r>
          </w:p>
          <w:p w:rsidR="00000000" w:rsidDel="00000000" w:rsidP="00000000" w:rsidRDefault="00000000" w:rsidRPr="00000000" w14:paraId="00000197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rtl w:val="0"/>
              </w:rPr>
              <w:t xml:space="preserve">...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99">
            <w:pPr>
              <w:spacing w:line="480" w:lineRule="auto"/>
              <w:jc w:val="center"/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rtl w:val="0"/>
              </w:rPr>
              <w:t xml:space="preserve">Intézetigazgató:</w:t>
            </w:r>
          </w:p>
          <w:p w:rsidR="00000000" w:rsidDel="00000000" w:rsidP="00000000" w:rsidRDefault="00000000" w:rsidRPr="00000000" w14:paraId="0000019A">
            <w:pPr>
              <w:jc w:val="center"/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rtl w:val="0"/>
              </w:rPr>
              <w:t xml:space="preserve">....................</w:t>
            </w:r>
          </w:p>
        </w:tc>
      </w:tr>
    </w:tbl>
    <w:p w:rsidR="00000000" w:rsidDel="00000000" w:rsidP="00000000" w:rsidRDefault="00000000" w:rsidRPr="00000000" w14:paraId="0000019C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9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Csak azokat az ikonokat tartsa meg, amelyek az </w:t>
      </w:r>
      <w:hyperlink r:id="rId1">
        <w:r w:rsidDel="00000000" w:rsidR="00000000" w:rsidRPr="00000000">
          <w:rPr>
            <w:rFonts w:ascii="Cambria" w:cs="Cambria" w:eastAsia="Cambria" w:hAnsi="Cambria"/>
            <w:b w:val="0"/>
            <w:bCs w:val="0"/>
            <w:i w:val="1"/>
            <w:iCs w:val="1"/>
            <w:smallCaps w:val="0"/>
            <w:strike w:val="0"/>
            <w:color w:val="467886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SDG-ikonoknak az egyetemi folyamatban</w:t>
        </w:r>
      </w:hyperlink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összeset, és írja rá, hogy „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Nem alkalmazható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”.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hu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fontTable" Target="fontTable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styles" Target="styles.xml"/><Relationship Id="rId11" Type="http://schemas.openxmlformats.org/officeDocument/2006/relationships/customXml" Target="../customXML/item4.xml"/><Relationship Id="rId5" Type="http://schemas.openxmlformats.org/officeDocument/2006/relationships/numbering" Target="numbering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qw+PQMP4UNIlfH0wp4swgZBoAA==">CgMxLjAaHgoBMBIZChcICVITChF0YWJsZS43NjFiZmg4ODkwOTgAciExcnlsS3FtNWJTV3hFcWFUdU82QkFiTHFBeWN3dTRpR1g=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837962DF-2A84-4532-9ED1-5072792189F7}"/>
</file>

<file path=customXML/itemProps3.xml><?xml version="1.0" encoding="utf-8"?>
<ds:datastoreItem xmlns:ds="http://schemas.openxmlformats.org/officeDocument/2006/customXml" ds:itemID="{478EA127-8DE2-4780-BE58-BD4385AC34A6}"/>
</file>

<file path=customXML/itemProps4.xml><?xml version="1.0" encoding="utf-8"?>
<ds:datastoreItem xmlns:ds="http://schemas.openxmlformats.org/officeDocument/2006/customXml" ds:itemID="{A1642B51-CCA3-4E34-A663-74931257AA47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